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C" w:rsidRPr="00CA7C96" w:rsidRDefault="00FE75BC" w:rsidP="00CA7C96">
      <w:pPr>
        <w:autoSpaceDE w:val="0"/>
        <w:autoSpaceDN w:val="0"/>
        <w:adjustRightInd w:val="0"/>
        <w:rPr>
          <w:rFonts w:ascii="Verdana" w:hAnsi="Verdana"/>
          <w:b/>
        </w:rPr>
      </w:pPr>
      <w:r w:rsidRPr="004019C4">
        <w:rPr>
          <w:rFonts w:ascii="Verdana" w:hAnsi="Verdana"/>
          <w:b/>
          <w:color w:val="000000"/>
        </w:rPr>
        <w:t xml:space="preserve">The dataset represents </w:t>
      </w:r>
      <w:r w:rsidRPr="00CA7C96">
        <w:rPr>
          <w:rFonts w:ascii="Verdana" w:hAnsi="Verdana"/>
          <w:b/>
          <w:color w:val="000000"/>
        </w:rPr>
        <w:t xml:space="preserve">data from the study by </w:t>
      </w:r>
      <w:proofErr w:type="spellStart"/>
      <w:r w:rsidR="00CA7C96" w:rsidRPr="00CA7C96">
        <w:rPr>
          <w:rFonts w:ascii="Verdana" w:hAnsi="Verdana"/>
          <w:b/>
          <w:color w:val="000000"/>
        </w:rPr>
        <w:t>Machi</w:t>
      </w:r>
      <w:proofErr w:type="spellEnd"/>
      <w:r w:rsidRPr="00CA7C96">
        <w:rPr>
          <w:rFonts w:ascii="Verdana" w:hAnsi="Verdana"/>
          <w:b/>
          <w:color w:val="000000"/>
        </w:rPr>
        <w:t xml:space="preserve"> </w:t>
      </w:r>
      <w:r w:rsidRPr="00CA7C96">
        <w:rPr>
          <w:rFonts w:ascii="Verdana" w:hAnsi="Verdana"/>
          <w:b/>
        </w:rPr>
        <w:t xml:space="preserve">et al. </w:t>
      </w:r>
      <w:r w:rsidR="00D10896" w:rsidRPr="00CA7C96">
        <w:rPr>
          <w:rFonts w:ascii="Verdana" w:hAnsi="Verdana"/>
          <w:b/>
        </w:rPr>
        <w:t>“</w:t>
      </w:r>
      <w:r w:rsidR="00CA7C96" w:rsidRPr="00CA7C96">
        <w:rPr>
          <w:rFonts w:ascii="Verdana" w:eastAsiaTheme="minorHAnsi" w:hAnsi="Verdana" w:cs="HelveticaNeueLTStd-Bd"/>
          <w:b/>
        </w:rPr>
        <w:t>Discharge Readiness after Tricompartment</w:t>
      </w:r>
      <w:r w:rsidR="00CA7C96" w:rsidRPr="00CA7C96">
        <w:rPr>
          <w:rFonts w:ascii="Verdana" w:eastAsiaTheme="minorHAnsi" w:hAnsi="Verdana" w:cs="HelveticaNeueLTStd-Bd"/>
          <w:b/>
        </w:rPr>
        <w:t xml:space="preserve"> </w:t>
      </w:r>
      <w:r w:rsidR="00CA7C96" w:rsidRPr="00CA7C96">
        <w:rPr>
          <w:rFonts w:ascii="Verdana" w:eastAsiaTheme="minorHAnsi" w:hAnsi="Verdana" w:cs="HelveticaNeueLTStd-Bd"/>
          <w:b/>
        </w:rPr>
        <w:t>Knee Arthroplasty</w:t>
      </w:r>
      <w:r w:rsidRPr="00CA7C96">
        <w:rPr>
          <w:rFonts w:ascii="Verdana" w:hAnsi="Verdana"/>
          <w:b/>
        </w:rPr>
        <w:t xml:space="preserve">”. </w:t>
      </w:r>
      <w:r w:rsidR="00CA7C96" w:rsidRPr="00CA7C96">
        <w:rPr>
          <w:rFonts w:ascii="Verdana" w:hAnsi="Verdana"/>
          <w:b/>
          <w:i/>
        </w:rPr>
        <w:t>Anesthesiology</w:t>
      </w:r>
      <w:r w:rsidR="00CA7C96" w:rsidRPr="00CA7C96">
        <w:rPr>
          <w:rFonts w:ascii="Verdana" w:eastAsiaTheme="minorHAnsi" w:hAnsi="Verdana" w:cs="HelveticaNeueLTStd-Bd-SC700"/>
          <w:b/>
        </w:rPr>
        <w:t xml:space="preserve"> </w:t>
      </w:r>
      <w:r w:rsidR="00CA7C96" w:rsidRPr="00CA7C96">
        <w:rPr>
          <w:rFonts w:ascii="Verdana" w:eastAsiaTheme="minorHAnsi" w:hAnsi="Verdana" w:cs="HelveticaNeueLTStd-Bd"/>
          <w:b/>
        </w:rPr>
        <w:t>2015; 123:444-56</w:t>
      </w:r>
      <w:r w:rsidR="00CA7C96">
        <w:rPr>
          <w:rFonts w:ascii="Verdana" w:hAnsi="Verdana"/>
          <w:b/>
        </w:rPr>
        <w:t>.</w:t>
      </w:r>
      <w:r w:rsidRPr="00CA7C96">
        <w:rPr>
          <w:rFonts w:ascii="Verdana" w:hAnsi="Verdana"/>
          <w:b/>
        </w:rPr>
        <w:t xml:space="preserve">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  <w:bookmarkStart w:id="0" w:name="_GoBack"/>
      <w:bookmarkEnd w:id="0"/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CA7C96">
        <w:rPr>
          <w:rFonts w:ascii="Verdana" w:eastAsiaTheme="minorHAnsi" w:hAnsi="Verdana" w:cs="Palatino-Italic"/>
          <w:b/>
          <w:iCs/>
        </w:rPr>
        <w:t>Nerve Block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BD77A5" w:rsidRDefault="00CA7C96" w:rsidP="00BD77A5">
      <w:pPr>
        <w:rPr>
          <w:rFonts w:ascii="Verdana" w:eastAsiaTheme="minorHAnsi" w:hAnsi="Verdana" w:cs="AGaramondPro-Regular"/>
        </w:rPr>
      </w:pPr>
      <w:r w:rsidRPr="00CA7C96">
        <w:rPr>
          <w:rFonts w:ascii="Verdana" w:eastAsiaTheme="minorHAnsi" w:hAnsi="Verdana" w:cs="AGaramondPro-Bold"/>
          <w:bCs/>
        </w:rPr>
        <w:t>T</w:t>
      </w:r>
      <w:r>
        <w:rPr>
          <w:rFonts w:ascii="Verdana" w:eastAsiaTheme="minorHAnsi" w:hAnsi="Verdana" w:cs="AGaramondPro-Bold"/>
          <w:bCs/>
        </w:rPr>
        <w:t>ricompartment</w:t>
      </w:r>
      <w:r>
        <w:rPr>
          <w:rFonts w:ascii="Verdana" w:eastAsiaTheme="minorHAnsi" w:hAnsi="Verdana" w:cs="AGaramondPro-Regular"/>
        </w:rPr>
        <w:t xml:space="preserve"> knee </w:t>
      </w:r>
      <w:r w:rsidRPr="00CA7C96">
        <w:rPr>
          <w:rFonts w:ascii="Verdana" w:eastAsiaTheme="minorHAnsi" w:hAnsi="Verdana" w:cs="AGaramondPro-Regular"/>
        </w:rPr>
        <w:t xml:space="preserve">arthroplasty, sometimes referred to as total knee replacement </w:t>
      </w:r>
      <w:r w:rsidRPr="00CA7C96">
        <w:rPr>
          <w:rFonts w:ascii="Verdana" w:hAnsi="Verdana"/>
        </w:rPr>
        <w:t>is a surgical procedure in which the worn out or damaged surfaces of the knee joint are removed and replaced with artificial parts.</w:t>
      </w:r>
      <w:r w:rsidRPr="00CA7C96">
        <w:rPr>
          <w:rFonts w:ascii="Verdana" w:eastAsiaTheme="minorHAnsi" w:hAnsi="Verdana" w:cs="AGaramondPro-Regular"/>
        </w:rPr>
        <w:t xml:space="preserve"> </w:t>
      </w:r>
      <w:r w:rsidRPr="00CA7C96">
        <w:rPr>
          <w:rFonts w:ascii="Verdana" w:eastAsiaTheme="minorHAnsi" w:hAnsi="Verdana" w:cs="AGaramondPro-Regular"/>
        </w:rPr>
        <w:t>This surgery results in moderate-to-severe postoperative</w:t>
      </w:r>
      <w:r>
        <w:rPr>
          <w:rFonts w:ascii="Verdana" w:eastAsiaTheme="minorHAnsi" w:hAnsi="Verdana" w:cs="AGaramondPro-Regular"/>
        </w:rPr>
        <w:t xml:space="preserve"> </w:t>
      </w:r>
      <w:r w:rsidRPr="00CA7C96">
        <w:rPr>
          <w:rFonts w:ascii="Verdana" w:eastAsiaTheme="minorHAnsi" w:hAnsi="Verdana" w:cs="AGaramondPro-Regular"/>
        </w:rPr>
        <w:t>pain that often requires intravenous analgesics and</w:t>
      </w:r>
      <w:r>
        <w:rPr>
          <w:rFonts w:ascii="Verdana" w:eastAsiaTheme="minorHAnsi" w:hAnsi="Verdana" w:cs="AGaramondPro-Regular"/>
        </w:rPr>
        <w:t xml:space="preserve"> </w:t>
      </w:r>
      <w:r w:rsidRPr="00CA7C96">
        <w:rPr>
          <w:rFonts w:ascii="Verdana" w:eastAsiaTheme="minorHAnsi" w:hAnsi="Verdana" w:cs="AGaramondPro-Regular"/>
        </w:rPr>
        <w:t xml:space="preserve">impairs functional mobility, all of which can prolong </w:t>
      </w:r>
      <w:r>
        <w:rPr>
          <w:rFonts w:ascii="Verdana" w:eastAsiaTheme="minorHAnsi" w:hAnsi="Verdana" w:cs="AGaramondPro-Regular"/>
        </w:rPr>
        <w:t>h</w:t>
      </w:r>
      <w:r w:rsidRPr="00CA7C96">
        <w:rPr>
          <w:rFonts w:ascii="Verdana" w:eastAsiaTheme="minorHAnsi" w:hAnsi="Verdana" w:cs="AGaramondPro-Regular"/>
        </w:rPr>
        <w:t>ospitalization.</w:t>
      </w:r>
      <w:r>
        <w:rPr>
          <w:rFonts w:ascii="Verdana" w:eastAsiaTheme="minorHAnsi" w:hAnsi="Verdana" w:cs="AGaramondPro-Regular"/>
        </w:rPr>
        <w:t xml:space="preserve"> </w:t>
      </w:r>
    </w:p>
    <w:p w:rsidR="00BD77A5" w:rsidRDefault="00BD77A5" w:rsidP="00BD77A5">
      <w:pPr>
        <w:rPr>
          <w:rFonts w:ascii="Verdana" w:eastAsiaTheme="minorHAnsi" w:hAnsi="Verdana" w:cs="AGaramondPro-Regular"/>
        </w:rPr>
      </w:pPr>
    </w:p>
    <w:p w:rsidR="00CA7C96" w:rsidRDefault="00BD77A5" w:rsidP="00BD77A5">
      <w:pPr>
        <w:rPr>
          <w:rFonts w:ascii="Verdana" w:eastAsiaTheme="minorHAnsi" w:hAnsi="Verdana" w:cs="AGaramondPro-Regular"/>
        </w:rPr>
      </w:pPr>
      <w:r>
        <w:rPr>
          <w:rFonts w:ascii="Verdana" w:eastAsiaTheme="minorHAnsi" w:hAnsi="Verdana" w:cs="AGaramondPro-Regular"/>
        </w:rPr>
        <w:t xml:space="preserve">A continuous femoral nerve block is when </w:t>
      </w:r>
      <w:r w:rsidRPr="00BD77A5">
        <w:rPr>
          <w:rFonts w:ascii="Verdana" w:eastAsiaTheme="minorHAnsi" w:hAnsi="Verdana" w:cs="AGaramondPro-Regular"/>
        </w:rPr>
        <w:t>a</w:t>
      </w:r>
      <w:r w:rsidRPr="00BD77A5">
        <w:rPr>
          <w:rFonts w:ascii="Verdana" w:hAnsi="Verdana" w:cs="Arial"/>
        </w:rPr>
        <w:t xml:space="preserve"> small catheter i</w:t>
      </w:r>
      <w:r>
        <w:rPr>
          <w:rFonts w:ascii="Verdana" w:hAnsi="Verdana" w:cs="Arial"/>
        </w:rPr>
        <w:t>s</w:t>
      </w:r>
      <w:r w:rsidRPr="00BD77A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inserted into the </w:t>
      </w:r>
      <w:r w:rsidRPr="00BD77A5">
        <w:rPr>
          <w:rFonts w:ascii="Verdana" w:hAnsi="Verdana" w:cs="Arial"/>
        </w:rPr>
        <w:t xml:space="preserve">thigh </w:t>
      </w:r>
      <w:r>
        <w:rPr>
          <w:rFonts w:ascii="Verdana" w:hAnsi="Verdana" w:cs="Arial"/>
        </w:rPr>
        <w:t>and d</w:t>
      </w:r>
      <w:r w:rsidRPr="00BD77A5">
        <w:rPr>
          <w:rFonts w:ascii="Verdana" w:hAnsi="Verdana" w:cs="Arial"/>
        </w:rPr>
        <w:t>eliver</w:t>
      </w:r>
      <w:r>
        <w:rPr>
          <w:rFonts w:ascii="Verdana" w:hAnsi="Verdana" w:cs="Arial"/>
        </w:rPr>
        <w:t>s</w:t>
      </w:r>
      <w:r w:rsidRPr="00BD77A5">
        <w:rPr>
          <w:rFonts w:ascii="Verdana" w:hAnsi="Verdana" w:cs="Arial"/>
        </w:rPr>
        <w:t xml:space="preserve"> local anesthetic, or numbing medicine, to the nerves. </w:t>
      </w:r>
      <w:r>
        <w:rPr>
          <w:rFonts w:ascii="Verdana" w:hAnsi="Verdana" w:cs="Arial"/>
        </w:rPr>
        <w:t xml:space="preserve">It can </w:t>
      </w:r>
      <w:r w:rsidR="00CA7C96" w:rsidRPr="00BD77A5">
        <w:rPr>
          <w:rFonts w:ascii="Verdana" w:eastAsiaTheme="minorHAnsi" w:hAnsi="Verdana" w:cs="AGaramondPro-Regular"/>
        </w:rPr>
        <w:t>provide effective</w:t>
      </w:r>
      <w:r w:rsidR="00CA7C96" w:rsidRPr="00BD77A5">
        <w:rPr>
          <w:rFonts w:ascii="Verdana" w:eastAsiaTheme="minorHAnsi" w:hAnsi="Verdana" w:cs="AGaramondPro-Regular"/>
        </w:rPr>
        <w:t xml:space="preserve"> </w:t>
      </w:r>
      <w:r w:rsidR="00CA7C96" w:rsidRPr="00BD77A5">
        <w:rPr>
          <w:rFonts w:ascii="Verdana" w:eastAsiaTheme="minorHAnsi" w:hAnsi="Verdana" w:cs="AGaramondPro-Regular"/>
        </w:rPr>
        <w:t xml:space="preserve">postoperative analgesia and </w:t>
      </w:r>
      <w:r>
        <w:rPr>
          <w:rFonts w:ascii="Verdana" w:eastAsiaTheme="minorHAnsi" w:hAnsi="Verdana" w:cs="AGaramondPro-Regular"/>
        </w:rPr>
        <w:t>is</w:t>
      </w:r>
      <w:r w:rsidR="00CA7C96" w:rsidRPr="00BD77A5">
        <w:rPr>
          <w:rFonts w:ascii="Verdana" w:eastAsiaTheme="minorHAnsi" w:hAnsi="Verdana" w:cs="AGaramondPro-Regular"/>
        </w:rPr>
        <w:t xml:space="preserve"> therefore</w:t>
      </w:r>
      <w:r w:rsidR="00CA7C96" w:rsidRPr="00CA7C96">
        <w:rPr>
          <w:rFonts w:ascii="Verdana" w:eastAsiaTheme="minorHAnsi" w:hAnsi="Verdana" w:cs="AGaramondPro-Regular"/>
        </w:rPr>
        <w:t xml:space="preserve"> widely used</w:t>
      </w:r>
      <w:r w:rsidR="00CA7C96">
        <w:rPr>
          <w:rFonts w:ascii="Verdana" w:eastAsiaTheme="minorHAnsi" w:hAnsi="Verdana" w:cs="AGaramondPro-Regular"/>
        </w:rPr>
        <w:t xml:space="preserve"> </w:t>
      </w:r>
      <w:r w:rsidR="00CA7C96" w:rsidRPr="00CA7C96">
        <w:rPr>
          <w:rFonts w:ascii="Verdana" w:eastAsiaTheme="minorHAnsi" w:hAnsi="Verdana" w:cs="AGaramondPro-Regular"/>
        </w:rPr>
        <w:t>after knee arthroplasty. However, this</w:t>
      </w:r>
      <w:r w:rsidR="00CA7C96">
        <w:rPr>
          <w:rFonts w:ascii="Verdana" w:eastAsiaTheme="minorHAnsi" w:hAnsi="Verdana" w:cs="AGaramondPro-Regular"/>
        </w:rPr>
        <w:t xml:space="preserve"> </w:t>
      </w:r>
      <w:r w:rsidR="00CA7C96" w:rsidRPr="00CA7C96">
        <w:rPr>
          <w:rFonts w:ascii="Verdana" w:eastAsiaTheme="minorHAnsi" w:hAnsi="Verdana" w:cs="AGaramondPro-Regular"/>
        </w:rPr>
        <w:t>modality induces quadriceps weakness and is associated with</w:t>
      </w:r>
      <w:r w:rsidR="00CA7C96">
        <w:rPr>
          <w:rFonts w:ascii="Verdana" w:eastAsiaTheme="minorHAnsi" w:hAnsi="Verdana" w:cs="AGaramondPro-Regular"/>
        </w:rPr>
        <w:t xml:space="preserve"> </w:t>
      </w:r>
      <w:r w:rsidR="00CA7C96" w:rsidRPr="00CA7C96">
        <w:rPr>
          <w:rFonts w:ascii="Verdana" w:eastAsiaTheme="minorHAnsi" w:hAnsi="Verdana" w:cs="AGaramondPro-Regular"/>
        </w:rPr>
        <w:t>an increased risk of falling, leading clinicians to question</w:t>
      </w:r>
      <w:r w:rsidR="00CA7C96">
        <w:rPr>
          <w:rFonts w:ascii="Verdana" w:eastAsiaTheme="minorHAnsi" w:hAnsi="Verdana" w:cs="AGaramondPro-Regular"/>
        </w:rPr>
        <w:t xml:space="preserve"> </w:t>
      </w:r>
      <w:r w:rsidR="00CA7C96" w:rsidRPr="00CA7C96">
        <w:rPr>
          <w:rFonts w:ascii="Verdana" w:eastAsiaTheme="minorHAnsi" w:hAnsi="Verdana" w:cs="AGaramondPro-Regular"/>
        </w:rPr>
        <w:t>its risk–benefit ratio and consider alternative analgesic</w:t>
      </w:r>
      <w:r w:rsidR="00CA7C96">
        <w:rPr>
          <w:rFonts w:ascii="Verdana" w:eastAsiaTheme="minorHAnsi" w:hAnsi="Verdana" w:cs="AGaramondPro-Regular"/>
        </w:rPr>
        <w:t xml:space="preserve"> approaches.</w:t>
      </w:r>
    </w:p>
    <w:p w:rsidR="00CA7C96" w:rsidRPr="00CA7C96" w:rsidRDefault="00CA7C96" w:rsidP="00CA7C96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CA7C96" w:rsidRDefault="00CA7C96" w:rsidP="00BD77A5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CA7C96">
        <w:rPr>
          <w:rFonts w:ascii="Verdana" w:eastAsiaTheme="minorHAnsi" w:hAnsi="Verdana" w:cs="AGaramondPro-Regular"/>
        </w:rPr>
        <w:t>A relatively new alternative is an adductor canal block</w:t>
      </w:r>
      <w:r w:rsidR="00BD77A5">
        <w:rPr>
          <w:rFonts w:ascii="Verdana" w:eastAsiaTheme="minorHAnsi" w:hAnsi="Verdana" w:cs="AGaramondPro-Regular"/>
        </w:rPr>
        <w:t xml:space="preserve"> </w:t>
      </w:r>
      <w:r w:rsidRPr="00CA7C96">
        <w:rPr>
          <w:rFonts w:ascii="Verdana" w:eastAsiaTheme="minorHAnsi" w:hAnsi="Verdana" w:cs="AGaramondPro-Regular"/>
        </w:rPr>
        <w:t>in which local anesthetic is deposited within an aponeurotic</w:t>
      </w:r>
      <w:r w:rsidR="00BD77A5">
        <w:rPr>
          <w:rFonts w:ascii="Verdana" w:eastAsiaTheme="minorHAnsi" w:hAnsi="Verdana" w:cs="AGaramondPro-Regular"/>
        </w:rPr>
        <w:t xml:space="preserve"> </w:t>
      </w:r>
      <w:r w:rsidRPr="00CA7C96">
        <w:rPr>
          <w:rFonts w:ascii="Verdana" w:eastAsiaTheme="minorHAnsi" w:hAnsi="Verdana" w:cs="AGaramondPro-Regular"/>
        </w:rPr>
        <w:t>tunnel in the middle third of the thigh containing multiple</w:t>
      </w:r>
      <w:r w:rsidR="00BD77A5" w:rsidRPr="00BD77A5">
        <w:rPr>
          <w:rFonts w:ascii="AGaramondPro-Regular" w:eastAsiaTheme="minorHAnsi" w:hAnsi="AGaramondPro-Regular" w:cs="AGaramondPro-Regular"/>
          <w:sz w:val="20"/>
          <w:szCs w:val="20"/>
        </w:rPr>
        <w:t xml:space="preserve"> </w:t>
      </w:r>
      <w:r w:rsidR="00BD77A5" w:rsidRPr="00BD77A5">
        <w:rPr>
          <w:rFonts w:ascii="Verdana" w:eastAsiaTheme="minorHAnsi" w:hAnsi="Verdana" w:cs="AGaramondPro-Regular"/>
        </w:rPr>
        <w:t>afferent sensory nerves—but only a single efferent motor</w:t>
      </w:r>
      <w:r w:rsidR="00BD77A5">
        <w:rPr>
          <w:rFonts w:ascii="Verdana" w:eastAsiaTheme="minorHAnsi" w:hAnsi="Verdana" w:cs="AGaramondPro-Regular"/>
        </w:rPr>
        <w:t xml:space="preserve"> </w:t>
      </w:r>
      <w:r w:rsidR="00BD77A5" w:rsidRPr="00BD77A5">
        <w:rPr>
          <w:rFonts w:ascii="Verdana" w:eastAsiaTheme="minorHAnsi" w:hAnsi="Verdana" w:cs="AGaramondPro-Regular"/>
        </w:rPr>
        <w:t>nerve: a branch innervating the vastus medialis of the quadriceps</w:t>
      </w:r>
      <w:r w:rsidR="00BD77A5">
        <w:rPr>
          <w:rFonts w:ascii="Verdana" w:eastAsiaTheme="minorHAnsi" w:hAnsi="Verdana" w:cs="AGaramondPro-Regular"/>
        </w:rPr>
        <w:t xml:space="preserve"> </w:t>
      </w:r>
      <w:r w:rsidR="00BD77A5" w:rsidRPr="00BD77A5">
        <w:rPr>
          <w:rFonts w:ascii="Verdana" w:eastAsiaTheme="minorHAnsi" w:hAnsi="Verdana" w:cs="AGaramondPro-Regular"/>
        </w:rPr>
        <w:t>muscle. In both volunteers and surgical patients,</w:t>
      </w:r>
      <w:r w:rsidR="00BD77A5">
        <w:rPr>
          <w:rFonts w:ascii="Verdana" w:eastAsiaTheme="minorHAnsi" w:hAnsi="Verdana" w:cs="AGaramondPro-Regular"/>
        </w:rPr>
        <w:t xml:space="preserve"> </w:t>
      </w:r>
      <w:r w:rsidR="00BD77A5" w:rsidRPr="00BD77A5">
        <w:rPr>
          <w:rFonts w:ascii="Verdana" w:eastAsiaTheme="minorHAnsi" w:hAnsi="Verdana" w:cs="AGaramondPro-Regular"/>
        </w:rPr>
        <w:t>a single-injection adductor cana</w:t>
      </w:r>
      <w:r w:rsidR="00BD77A5">
        <w:rPr>
          <w:rFonts w:ascii="Verdana" w:eastAsiaTheme="minorHAnsi" w:hAnsi="Verdana" w:cs="AGaramondPro-Regular"/>
        </w:rPr>
        <w:t xml:space="preserve">l block induces less quadriceps </w:t>
      </w:r>
      <w:r w:rsidR="00BD77A5" w:rsidRPr="00BD77A5">
        <w:rPr>
          <w:rFonts w:ascii="Verdana" w:eastAsiaTheme="minorHAnsi" w:hAnsi="Verdana" w:cs="AGaramondPro-Regular"/>
        </w:rPr>
        <w:t>weakness and mobilization disability compared with a</w:t>
      </w:r>
      <w:r w:rsidR="00BD77A5">
        <w:rPr>
          <w:rFonts w:ascii="Verdana" w:eastAsiaTheme="minorHAnsi" w:hAnsi="Verdana" w:cs="AGaramondPro-Regular"/>
        </w:rPr>
        <w:t xml:space="preserve"> </w:t>
      </w:r>
      <w:r w:rsidR="00BD77A5" w:rsidRPr="00BD77A5">
        <w:rPr>
          <w:rFonts w:ascii="Verdana" w:eastAsiaTheme="minorHAnsi" w:hAnsi="Verdana" w:cs="AGaramondPro-Regular"/>
        </w:rPr>
        <w:t>single-injection femoral nerve block.</w:t>
      </w:r>
    </w:p>
    <w:p w:rsidR="007325E9" w:rsidRDefault="007325E9" w:rsidP="00BD77A5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7325E9" w:rsidRPr="007325E9" w:rsidRDefault="007325E9" w:rsidP="007325E9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7325E9">
        <w:rPr>
          <w:rFonts w:ascii="Verdana" w:eastAsiaTheme="minorHAnsi" w:hAnsi="Verdana" w:cs="AGaramondPro-Regular"/>
        </w:rPr>
        <w:t>Because pain after knee arthroplasty usually outlasts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the duration of a single-injection nerve block, a perineural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catheter is often introduced to allow prolonged local anesthetic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 xml:space="preserve">administration. </w:t>
      </w:r>
      <w:r>
        <w:rPr>
          <w:rFonts w:ascii="Verdana" w:eastAsiaTheme="minorHAnsi" w:hAnsi="Verdana" w:cs="AGaramondPro-Regular"/>
        </w:rPr>
        <w:t>Previous studies have</w:t>
      </w:r>
      <w:r w:rsidRPr="007325E9">
        <w:rPr>
          <w:rFonts w:ascii="Verdana" w:eastAsiaTheme="minorHAnsi" w:hAnsi="Verdana" w:cs="AGaramondPro-Regular"/>
        </w:rPr>
        <w:t xml:space="preserve"> demonstrated the quadriceps-sparing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benefit of the adductor canal infusions, but both limited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 xml:space="preserve">infusion duration to </w:t>
      </w:r>
      <w:r>
        <w:rPr>
          <w:rFonts w:ascii="Calibri" w:eastAsiaTheme="minorHAnsi" w:hAnsi="Calibri" w:cs="AGaramondPro-Regular"/>
        </w:rPr>
        <w:t>≤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24 hours and evaluated mobilization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a maximum of 24 h</w:t>
      </w:r>
      <w:r>
        <w:rPr>
          <w:rFonts w:ascii="Verdana" w:eastAsiaTheme="minorHAnsi" w:hAnsi="Verdana" w:cs="AGaramondPro-Regular"/>
        </w:rPr>
        <w:t>ours</w:t>
      </w:r>
      <w:r w:rsidRPr="007325E9">
        <w:rPr>
          <w:rFonts w:ascii="Verdana" w:eastAsiaTheme="minorHAnsi" w:hAnsi="Verdana" w:cs="AGaramondPro-Regular"/>
        </w:rPr>
        <w:t>. Because discharge readiness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 xml:space="preserve">is rarely achieved within </w:t>
      </w:r>
      <w:r>
        <w:rPr>
          <w:rFonts w:ascii="Verdana" w:eastAsiaTheme="minorHAnsi" w:hAnsi="Verdana" w:cs="AGaramondPro-Regular"/>
        </w:rPr>
        <w:t>this time frame</w:t>
      </w:r>
      <w:r w:rsidRPr="007325E9">
        <w:rPr>
          <w:rFonts w:ascii="Verdana" w:eastAsiaTheme="minorHAnsi" w:hAnsi="Verdana" w:cs="AGaramondPro-Regular"/>
        </w:rPr>
        <w:t xml:space="preserve"> after tricompartment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knee arthroplasty, it remains unknown whether the use of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continuous adductor canal blocks will have any appreciable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effect on readiness for discharge.</w:t>
      </w:r>
    </w:p>
    <w:p w:rsidR="00BD77A5" w:rsidRPr="00CA7C96" w:rsidRDefault="00BD77A5" w:rsidP="00CA7C96">
      <w:pPr>
        <w:autoSpaceDE w:val="0"/>
        <w:autoSpaceDN w:val="0"/>
        <w:adjustRightInd w:val="0"/>
        <w:rPr>
          <w:rFonts w:ascii="Verdana" w:eastAsiaTheme="minorHAnsi" w:hAnsi="Verdana" w:cs="PalatinoLTStd-Roman"/>
        </w:rPr>
      </w:pPr>
    </w:p>
    <w:p w:rsidR="00813159" w:rsidRPr="007325E9" w:rsidRDefault="007325E9" w:rsidP="007325E9">
      <w:pPr>
        <w:autoSpaceDE w:val="0"/>
        <w:autoSpaceDN w:val="0"/>
        <w:adjustRightInd w:val="0"/>
        <w:rPr>
          <w:rFonts w:ascii="Verdana" w:eastAsia="Times-Roman" w:hAnsi="Verdana" w:cs="Times-Roman"/>
        </w:rPr>
      </w:pPr>
      <w:r>
        <w:rPr>
          <w:rFonts w:ascii="Verdana" w:eastAsiaTheme="minorHAnsi" w:hAnsi="Verdana" w:cs="AGaramondPro-Regular"/>
        </w:rPr>
        <w:t>T</w:t>
      </w:r>
      <w:r w:rsidRPr="007325E9">
        <w:rPr>
          <w:rFonts w:ascii="Verdana" w:eastAsiaTheme="minorHAnsi" w:hAnsi="Verdana" w:cs="AGaramondPro-Regular"/>
        </w:rPr>
        <w:t>herefore</w:t>
      </w:r>
      <w:r>
        <w:rPr>
          <w:rFonts w:ascii="Verdana" w:eastAsiaTheme="minorHAnsi" w:hAnsi="Verdana" w:cs="AGaramondPro-Regular"/>
        </w:rPr>
        <w:t xml:space="preserve">, </w:t>
      </w:r>
      <w:r w:rsidRPr="007325E9">
        <w:rPr>
          <w:rFonts w:ascii="Verdana" w:eastAsiaTheme="minorHAnsi" w:hAnsi="Verdana" w:cs="AGaramondPro-Regular"/>
        </w:rPr>
        <w:t>a dual-center, randomized,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active-controlled, parallel-arm clinical trial to test the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hypothesis that a continuous adductor canal block decreases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the time to attain four specific discharge criteria compared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with a continuous femoral nerve block after tricompartment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knee arthroplasty: (1) adequate analgesia; (2) independence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from intravenous opioids; (3) ability to independently stand;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walk 3 m, return, and sit down; and (4) independently</w:t>
      </w:r>
      <w:r>
        <w:rPr>
          <w:rFonts w:ascii="Verdana" w:eastAsiaTheme="minorHAnsi" w:hAnsi="Verdana" w:cs="AGaramondPro-Regular"/>
        </w:rPr>
        <w:t xml:space="preserve"> </w:t>
      </w:r>
      <w:r w:rsidRPr="007325E9">
        <w:rPr>
          <w:rFonts w:ascii="Verdana" w:eastAsiaTheme="minorHAnsi" w:hAnsi="Verdana" w:cs="AGaramondPro-Regular"/>
        </w:rPr>
        <w:t>ambulate 30 m</w:t>
      </w:r>
      <w:r>
        <w:rPr>
          <w:rFonts w:ascii="Verdana" w:eastAsiaTheme="minorHAnsi" w:hAnsi="Verdana" w:cs="AGaramondPro-Regular"/>
        </w:rPr>
        <w:t>, was conducted.</w:t>
      </w:r>
    </w:p>
    <w:p w:rsidR="00D72C58" w:rsidRPr="00CA7C96" w:rsidRDefault="00D72C58" w:rsidP="00D72C58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7325E9" w:rsidRDefault="00A67D4D" w:rsidP="007325E9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CA7C96">
        <w:rPr>
          <w:rFonts w:ascii="Verdana" w:eastAsia="Times-Roman" w:hAnsi="Verdana" w:cs="Times-Roman"/>
        </w:rPr>
        <w:t xml:space="preserve">The </w:t>
      </w:r>
      <w:r>
        <w:rPr>
          <w:rFonts w:ascii="Verdana" w:eastAsia="Times-Roman" w:hAnsi="Verdana" w:cs="Times-Roman"/>
        </w:rPr>
        <w:t xml:space="preserve">study enrolled </w:t>
      </w:r>
      <w:r w:rsidR="007325E9">
        <w:rPr>
          <w:rFonts w:ascii="Verdana" w:eastAsia="Times-Roman" w:hAnsi="Verdana" w:cs="Times-Roman"/>
        </w:rPr>
        <w:t>80</w:t>
      </w:r>
      <w:r>
        <w:rPr>
          <w:rFonts w:ascii="Verdana" w:eastAsia="Times-Roman" w:hAnsi="Verdana" w:cs="Times-Roman"/>
        </w:rPr>
        <w:t xml:space="preserve"> adult </w:t>
      </w:r>
      <w:r w:rsidRPr="007325E9">
        <w:rPr>
          <w:rFonts w:ascii="Verdana" w:eastAsia="Times-Roman" w:hAnsi="Verdana" w:cs="Times-Roman"/>
        </w:rPr>
        <w:t xml:space="preserve">patients </w:t>
      </w:r>
      <w:r w:rsidR="007325E9" w:rsidRPr="007325E9">
        <w:rPr>
          <w:rFonts w:ascii="Verdana" w:eastAsiaTheme="minorHAnsi" w:hAnsi="Verdana" w:cs="AGaramondPro-Regular"/>
        </w:rPr>
        <w:t>scheduled</w:t>
      </w:r>
      <w:r w:rsid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>for primary, unilateral, tricompartment knee arthroplasty</w:t>
      </w:r>
      <w:r w:rsidR="007325E9" w:rsidRP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 xml:space="preserve">whose postoperative analgesic plan included a </w:t>
      </w:r>
      <w:r w:rsidR="007325E9" w:rsidRPr="007325E9">
        <w:rPr>
          <w:rFonts w:ascii="Verdana" w:eastAsiaTheme="minorHAnsi" w:hAnsi="Verdana" w:cs="AGaramondPro-Regular"/>
        </w:rPr>
        <w:lastRenderedPageBreak/>
        <w:t>perineural</w:t>
      </w:r>
      <w:r w:rsidR="007325E9" w:rsidRP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>local anesthetic infusion</w:t>
      </w:r>
      <w:r w:rsidRPr="007325E9">
        <w:rPr>
          <w:rFonts w:ascii="Verdana" w:eastAsia="Times-Roman" w:hAnsi="Verdana" w:cs="Times-Roman"/>
        </w:rPr>
        <w:t xml:space="preserve">. </w:t>
      </w:r>
      <w:r w:rsidR="007325E9" w:rsidRPr="007325E9">
        <w:rPr>
          <w:rFonts w:ascii="Verdana" w:eastAsiaTheme="minorHAnsi" w:hAnsi="Verdana" w:cs="AGaramondPro-Regular"/>
        </w:rPr>
        <w:t>Subjects were randomized</w:t>
      </w:r>
      <w:r w:rsid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>to one of the two treatment groups—</w:t>
      </w:r>
      <w:r w:rsidR="007325E9" w:rsidRPr="007325E9">
        <w:rPr>
          <w:rFonts w:ascii="Verdana" w:eastAsiaTheme="minorHAnsi" w:hAnsi="Verdana" w:cs="AGaramondPro-Italic"/>
          <w:i/>
          <w:iCs/>
        </w:rPr>
        <w:t>adductor canal versus</w:t>
      </w:r>
      <w:r w:rsidR="007325E9">
        <w:rPr>
          <w:rFonts w:ascii="Verdana" w:eastAsiaTheme="minorHAnsi" w:hAnsi="Verdana" w:cs="AGaramondPro-Italic"/>
          <w:i/>
          <w:iCs/>
        </w:rPr>
        <w:t xml:space="preserve"> </w:t>
      </w:r>
      <w:r w:rsidR="007325E9" w:rsidRPr="007325E9">
        <w:rPr>
          <w:rFonts w:ascii="Verdana" w:eastAsiaTheme="minorHAnsi" w:hAnsi="Verdana" w:cs="AGaramondPro-Italic"/>
          <w:i/>
          <w:iCs/>
        </w:rPr>
        <w:t xml:space="preserve">femoral </w:t>
      </w:r>
      <w:r w:rsidR="007325E9" w:rsidRPr="007325E9">
        <w:rPr>
          <w:rFonts w:ascii="Verdana" w:eastAsiaTheme="minorHAnsi" w:hAnsi="Verdana" w:cs="AGaramondPro-Regular"/>
        </w:rPr>
        <w:t>perineural catheter—only if both locations were</w:t>
      </w:r>
      <w:r w:rsid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>considered acceptable for catheter insertion. Randomization</w:t>
      </w:r>
      <w:r w:rsid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>lists were created in blocks</w:t>
      </w:r>
      <w:r w:rsid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>of four, with a 1:1 ratio, stratified by both treatment center</w:t>
      </w:r>
      <w:r w:rsidR="007325E9">
        <w:rPr>
          <w:rFonts w:ascii="Verdana" w:eastAsiaTheme="minorHAnsi" w:hAnsi="Verdana" w:cs="AGaramondPro-Regular"/>
        </w:rPr>
        <w:t xml:space="preserve"> </w:t>
      </w:r>
      <w:r w:rsidR="007325E9" w:rsidRPr="007325E9">
        <w:rPr>
          <w:rFonts w:ascii="Verdana" w:eastAsiaTheme="minorHAnsi" w:hAnsi="Verdana" w:cs="AGaramondPro-Regular"/>
        </w:rPr>
        <w:t>and surgeon.</w:t>
      </w:r>
      <w:r w:rsidR="007325E9">
        <w:rPr>
          <w:rFonts w:ascii="Verdana" w:eastAsiaTheme="minorHAnsi" w:hAnsi="Verdana" w:cs="AGaramondPro-Regular"/>
        </w:rPr>
        <w:t xml:space="preserve"> </w:t>
      </w:r>
    </w:p>
    <w:p w:rsidR="00A35974" w:rsidRDefault="00A35974" w:rsidP="00A35974">
      <w:pPr>
        <w:autoSpaceDE w:val="0"/>
        <w:autoSpaceDN w:val="0"/>
        <w:adjustRightInd w:val="0"/>
        <w:rPr>
          <w:rFonts w:ascii="AGaramondPro-Regular" w:eastAsiaTheme="minorHAnsi" w:hAnsi="AGaramondPro-Regular" w:cs="AGaramondPro-Regular"/>
          <w:sz w:val="20"/>
          <w:szCs w:val="20"/>
        </w:rPr>
      </w:pPr>
    </w:p>
    <w:p w:rsidR="00A35974" w:rsidRPr="00A35974" w:rsidRDefault="00A35974" w:rsidP="00A35974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A35974">
        <w:rPr>
          <w:rFonts w:ascii="Verdana" w:eastAsiaTheme="minorHAnsi" w:hAnsi="Verdana" w:cs="AGaramondPro-Regular"/>
        </w:rPr>
        <w:t>Failure to meet</w:t>
      </w:r>
      <w:r>
        <w:rPr>
          <w:rFonts w:ascii="Verdana" w:eastAsiaTheme="minorHAnsi" w:hAnsi="Verdana" w:cs="AGaramondPro-Regular"/>
        </w:rPr>
        <w:t xml:space="preserve"> the following</w:t>
      </w:r>
      <w:r w:rsidRPr="00A35974">
        <w:rPr>
          <w:rFonts w:ascii="Verdana" w:eastAsiaTheme="minorHAnsi" w:hAnsi="Verdana" w:cs="AGaramondPro-Regular"/>
        </w:rPr>
        <w:t xml:space="preserve"> four criteria determine</w:t>
      </w:r>
      <w:r>
        <w:rPr>
          <w:rFonts w:ascii="Verdana" w:eastAsiaTheme="minorHAnsi" w:hAnsi="Verdana" w:cs="AGaramondPro-Regular"/>
        </w:rPr>
        <w:t>s</w:t>
      </w:r>
      <w:r w:rsidRPr="00A35974">
        <w:rPr>
          <w:rFonts w:ascii="Verdana" w:eastAsiaTheme="minorHAnsi" w:hAnsi="Verdana" w:cs="AGaramondPro-Regular"/>
        </w:rPr>
        <w:t xml:space="preserve"> the majority of hospitalization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days: (1) adequate analgesia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 xml:space="preserve">(defined as </w:t>
      </w:r>
      <w:r>
        <w:rPr>
          <w:rFonts w:ascii="Verdana" w:eastAsiaTheme="minorHAnsi" w:hAnsi="Verdana" w:cs="AGaramondPro-Regular"/>
        </w:rPr>
        <w:t>numeric rating scale</w:t>
      </w:r>
      <w:r w:rsidRPr="00A35974">
        <w:rPr>
          <w:rFonts w:ascii="Verdana" w:eastAsiaTheme="minorHAnsi" w:hAnsi="Verdana" w:cs="AGaramondPro-Regular"/>
        </w:rPr>
        <w:t xml:space="preserve"> &lt;4); (2) independence from intravenous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opioids for at least 12 h; (3) ability to independently stand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and sit down (evaluated with the Timed Up and Go test);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and (4) unassisted ambulation of at least 30 m (evaluated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 xml:space="preserve">with the 6-min walk test). </w:t>
      </w:r>
    </w:p>
    <w:p w:rsidR="00A35974" w:rsidRDefault="00A35974" w:rsidP="00A35974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A35974">
        <w:rPr>
          <w:rFonts w:ascii="Verdana" w:eastAsiaTheme="minorHAnsi" w:hAnsi="Verdana" w:cs="AGaramondPro-Regular"/>
        </w:rPr>
        <w:t>The primary endpoint of this study was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the time from surgical stop until all four of these criteria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were fulfilled without a reversion to unfulfilled status. These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criteria were assessed at the end of each 8-h nursing shift: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08:00, 16:00, and midnight. Pain scores were recorded every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4 h and when subjects requested analgesics.</w:t>
      </w:r>
      <w:r>
        <w:rPr>
          <w:rFonts w:ascii="Verdana" w:eastAsiaTheme="minorHAnsi" w:hAnsi="Verdana" w:cs="AGaramondPro-Regular"/>
        </w:rPr>
        <w:t xml:space="preserve"> </w:t>
      </w:r>
    </w:p>
    <w:p w:rsidR="00A35974" w:rsidRDefault="00A35974" w:rsidP="00A35974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A35974" w:rsidRDefault="00A35974" w:rsidP="00A35974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A35974">
        <w:rPr>
          <w:rFonts w:ascii="Verdana" w:eastAsiaTheme="minorHAnsi" w:hAnsi="Verdana" w:cs="AGaramondPro-Regular"/>
        </w:rPr>
        <w:t>Secondary endpoints included each of the four individual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discharge criteria of the primary endpoint, supplemental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oral opioid consumption, attaining a standing position without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assistance, passive knee flexion and extension (measured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with a goniometer), catheter site leakage, and the incidence</w:t>
      </w:r>
      <w:r>
        <w:rPr>
          <w:rFonts w:ascii="Verdana" w:eastAsiaTheme="minorHAnsi" w:hAnsi="Verdana" w:cs="AGaramondPro-Regular"/>
        </w:rPr>
        <w:t xml:space="preserve"> </w:t>
      </w:r>
      <w:r w:rsidRPr="00A35974">
        <w:rPr>
          <w:rFonts w:ascii="Verdana" w:eastAsiaTheme="minorHAnsi" w:hAnsi="Verdana" w:cs="AGaramondPro-Regular"/>
        </w:rPr>
        <w:t>of catheter dislodgement.</w:t>
      </w:r>
      <w:r>
        <w:rPr>
          <w:rFonts w:ascii="Verdana" w:eastAsiaTheme="minorHAnsi" w:hAnsi="Verdana" w:cs="AGaramondPro-Regular"/>
        </w:rPr>
        <w:t xml:space="preserve"> </w:t>
      </w:r>
    </w:p>
    <w:p w:rsidR="00A35974" w:rsidRDefault="00A35974" w:rsidP="00A35974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A35974" w:rsidRPr="00A35974" w:rsidRDefault="00A35974" w:rsidP="00A35974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sectPr w:rsidR="00A35974" w:rsidRPr="00A35974" w:rsidSect="00B20894">
      <w:pgSz w:w="12240" w:h="15840"/>
      <w:pgMar w:top="1080" w:right="108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aramon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-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AGaramond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A3D0C"/>
    <w:rsid w:val="000C45CF"/>
    <w:rsid w:val="003950EF"/>
    <w:rsid w:val="004019C4"/>
    <w:rsid w:val="00406DB2"/>
    <w:rsid w:val="007325E9"/>
    <w:rsid w:val="0074106D"/>
    <w:rsid w:val="00780512"/>
    <w:rsid w:val="00813159"/>
    <w:rsid w:val="009658AE"/>
    <w:rsid w:val="009D32D3"/>
    <w:rsid w:val="00A14652"/>
    <w:rsid w:val="00A35974"/>
    <w:rsid w:val="00A67D4D"/>
    <w:rsid w:val="00B20894"/>
    <w:rsid w:val="00BD77A5"/>
    <w:rsid w:val="00CA7C96"/>
    <w:rsid w:val="00CD6DD7"/>
    <w:rsid w:val="00D10896"/>
    <w:rsid w:val="00D72C58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F3254-5003-4A87-9E87-C9F4C220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9</cp:revision>
  <dcterms:created xsi:type="dcterms:W3CDTF">2012-11-20T19:35:00Z</dcterms:created>
  <dcterms:modified xsi:type="dcterms:W3CDTF">2017-05-25T20:56:00Z</dcterms:modified>
</cp:coreProperties>
</file>